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Технічне завдання</w:t>
      </w:r>
    </w:p>
    <w:p w:rsidR="00000000" w:rsidDel="00000000" w:rsidP="00000000" w:rsidRDefault="00000000" w:rsidRPr="00000000" w14:paraId="00000002">
      <w:pPr>
        <w:shd w:fill="ffffff" w:val="clear"/>
        <w:spacing w:after="0" w:line="240" w:lineRule="auto"/>
        <w:jc w:val="center"/>
        <w:rPr>
          <w:rFonts w:ascii="Times New Roman" w:cs="Times New Roman" w:eastAsia="Times New Roman" w:hAnsi="Times New Roman"/>
          <w:b w:val="1"/>
          <w:color w:val="0a0a0a"/>
          <w:sz w:val="24"/>
          <w:szCs w:val="24"/>
        </w:rPr>
      </w:pPr>
      <w:r w:rsidDel="00000000" w:rsidR="00000000" w:rsidRPr="00000000">
        <w:rPr>
          <w:rFonts w:ascii="Times New Roman" w:cs="Times New Roman" w:eastAsia="Times New Roman" w:hAnsi="Times New Roman"/>
          <w:b w:val="1"/>
          <w:sz w:val="24"/>
          <w:szCs w:val="24"/>
          <w:rtl w:val="0"/>
        </w:rPr>
        <w:t xml:space="preserve">на проведення дослідження локальних політик і програм щодо включення</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внутрішньо переміщених осіб</w:t>
      </w:r>
      <w:r w:rsidDel="00000000" w:rsidR="00000000" w:rsidRPr="00000000">
        <w:rPr>
          <w:rtl w:val="0"/>
        </w:rPr>
      </w:r>
    </w:p>
    <w:p w:rsidR="00000000" w:rsidDel="00000000" w:rsidP="00000000" w:rsidRDefault="00000000" w:rsidRPr="00000000" w14:paraId="00000004">
      <w:pPr>
        <w:shd w:fill="ffffff" w:val="clear"/>
        <w:spacing w:after="0" w:line="240" w:lineRule="auto"/>
        <w:jc w:val="center"/>
        <w:rPr>
          <w:rFonts w:ascii="Times New Roman" w:cs="Times New Roman" w:eastAsia="Times New Roman" w:hAnsi="Times New Roman"/>
          <w:color w:val="0a0a0a"/>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15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Внутрішньо переміщені особи (далі – </w:t>
      </w:r>
      <w:r w:rsidDel="00000000" w:rsidR="00000000" w:rsidRPr="00000000">
        <w:rPr>
          <w:rFonts w:ascii="Times New Roman" w:cs="Times New Roman" w:eastAsia="Times New Roman" w:hAnsi="Times New Roman"/>
          <w:sz w:val="24"/>
          <w:szCs w:val="24"/>
          <w:rtl w:val="0"/>
        </w:rPr>
        <w:t xml:space="preserve">ВПО) – це особи, що мешкають не за зареєстрованим місцем проживання. Відтак вони не можуть брати участь у загальних зборах чи громадських слуханнях, подавати місцеві ініціативи, створювати органи самоорганізації населення, голосувати за проекти громадського бюджету, користуватися іншими інструментами локальної демократії. Це також означає, що на них не поширюються місцеві цільові програми, що спрямовані на підтримку членів територіальної громади, що створює певну дискримінацію. Однак, с</w:t>
      </w:r>
      <w:r w:rsidDel="00000000" w:rsidR="00000000" w:rsidRPr="00000000">
        <w:rPr>
          <w:rFonts w:ascii="Times New Roman" w:cs="Times New Roman" w:eastAsia="Times New Roman" w:hAnsi="Times New Roman"/>
          <w:sz w:val="24"/>
          <w:szCs w:val="24"/>
          <w:highlight w:val="white"/>
          <w:rtl w:val="0"/>
        </w:rPr>
        <w:t xml:space="preserve">татут територіальної громади та/або </w:t>
      </w:r>
      <w:r w:rsidDel="00000000" w:rsidR="00000000" w:rsidRPr="00000000">
        <w:rPr>
          <w:rFonts w:ascii="Times New Roman" w:cs="Times New Roman" w:eastAsia="Times New Roman" w:hAnsi="Times New Roman"/>
          <w:sz w:val="24"/>
          <w:szCs w:val="24"/>
          <w:rtl w:val="0"/>
        </w:rPr>
        <w:t xml:space="preserve">окремі місцеві нормативно-правові акти</w:t>
      </w:r>
      <w:r w:rsidDel="00000000" w:rsidR="00000000" w:rsidRPr="00000000">
        <w:rPr>
          <w:rFonts w:ascii="Times New Roman" w:cs="Times New Roman" w:eastAsia="Times New Roman" w:hAnsi="Times New Roman"/>
          <w:sz w:val="24"/>
          <w:szCs w:val="24"/>
          <w:highlight w:val="white"/>
          <w:rtl w:val="0"/>
        </w:rPr>
        <w:t xml:space="preserve"> можуть містити визначення членів територіальної громади, до яких віднесені ВПО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Дослідження є частиною моніторингу, який направлений на виявлення дискримінації </w:t>
      </w:r>
      <w:r w:rsidDel="00000000" w:rsidR="00000000" w:rsidRPr="00000000">
        <w:rPr>
          <w:rFonts w:ascii="Times New Roman" w:cs="Times New Roman" w:eastAsia="Times New Roman" w:hAnsi="Times New Roman"/>
          <w:sz w:val="24"/>
          <w:szCs w:val="24"/>
          <w:highlight w:val="white"/>
          <w:rtl w:val="0"/>
        </w:rPr>
        <w:t xml:space="preserve">ВПО </w:t>
      </w:r>
      <w:r w:rsidDel="00000000" w:rsidR="00000000" w:rsidRPr="00000000">
        <w:rPr>
          <w:rFonts w:ascii="Times New Roman" w:cs="Times New Roman" w:eastAsia="Times New Roman" w:hAnsi="Times New Roman"/>
          <w:sz w:val="24"/>
          <w:szCs w:val="24"/>
          <w:rtl w:val="0"/>
        </w:rPr>
        <w:t xml:space="preserve">щодо права на безпосередню участь у місцевому самоврядуванні</w:t>
      </w:r>
      <w:r w:rsidDel="00000000" w:rsidR="00000000" w:rsidRPr="00000000">
        <w:rPr>
          <w:rFonts w:ascii="Times New Roman" w:cs="Times New Roman" w:eastAsia="Times New Roman" w:hAnsi="Times New Roman"/>
          <w:sz w:val="24"/>
          <w:szCs w:val="24"/>
          <w:highlight w:val="white"/>
          <w:rtl w:val="0"/>
        </w:rPr>
        <w:t xml:space="preserve">, а також права отримувати соціальну підтримку (в тому числі матеріальну), передбачену місцевими цільовими програмами та іншими місцевими </w:t>
      </w:r>
      <w:r w:rsidDel="00000000" w:rsidR="00000000" w:rsidRPr="00000000">
        <w:rPr>
          <w:rFonts w:ascii="Times New Roman" w:cs="Times New Roman" w:eastAsia="Times New Roman" w:hAnsi="Times New Roman"/>
          <w:sz w:val="24"/>
          <w:szCs w:val="24"/>
          <w:rtl w:val="0"/>
        </w:rPr>
        <w:t xml:space="preserve">нормативно-правовими актами.</w:t>
      </w:r>
    </w:p>
    <w:p w:rsidR="00000000" w:rsidDel="00000000" w:rsidP="00000000" w:rsidRDefault="00000000" w:rsidRPr="00000000" w14:paraId="00000007">
      <w:pPr>
        <w:tabs>
          <w:tab w:val="left" w:pos="284"/>
        </w:tabs>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Географія дослідження</w:t>
      </w:r>
      <w:r w:rsidDel="00000000" w:rsidR="00000000" w:rsidRPr="00000000">
        <w:rPr>
          <w:rFonts w:ascii="Times New Roman" w:cs="Times New Roman" w:eastAsia="Times New Roman" w:hAnsi="Times New Roman"/>
          <w:color w:val="000000"/>
          <w:sz w:val="24"/>
          <w:szCs w:val="24"/>
          <w:rtl w:val="0"/>
        </w:rPr>
        <w:t xml:space="preserve"> охоплює 25 громад у 15 областях України: </w:t>
      </w: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Дніпропетровська: м. Дніпро, м. Кривий Ріг, м. Кам’янське;</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Закарпатська: м. Ужгород, м. Мукачево;</w:t>
      </w: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Івано-Франківська: м. Івано-Франківськ, м. Коломия</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Київська: м. Київ, м. Біла Церква, м. Обухів</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Львівська: м. Львів, м. Червоноград;</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Полтавська: м. Полтава, м. Кременчук</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 Тернопільська: м. Тернопіль;</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Хмельницька: м. Хмельницький, м. Кам’янець-Подільський</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 Черкаська: м. Черкаси, м. Умань;</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 Чернівецька: м. Чернівці;</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 Кіровоградська: м. Кіровоград;</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 Рівненська: м. Рівне</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 Вінницька: м. Вінниця</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 Житомирська: м. Житомир</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 Волинська: м. Луцьк</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b w:val="1"/>
          <w:color w:val="0a0a0a"/>
          <w:sz w:val="24"/>
          <w:szCs w:val="24"/>
          <w:u w:val="single"/>
        </w:rPr>
      </w:pPr>
      <w:r w:rsidDel="00000000" w:rsidR="00000000" w:rsidRPr="00000000">
        <w:rPr>
          <w:rFonts w:ascii="Times New Roman" w:cs="Times New Roman" w:eastAsia="Times New Roman" w:hAnsi="Times New Roman"/>
          <w:b w:val="1"/>
          <w:color w:val="0a0a0a"/>
          <w:sz w:val="24"/>
          <w:szCs w:val="24"/>
          <w:u w:val="single"/>
          <w:rtl w:val="0"/>
        </w:rPr>
        <w:t xml:space="preserve">Деталізація послуг, які надає Підрядник:</w:t>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очікуємо від обраного Підрядника </w:t>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П</w:t>
      </w:r>
      <w:r w:rsidDel="00000000" w:rsidR="00000000" w:rsidRPr="00000000">
        <w:rPr>
          <w:rFonts w:ascii="Times New Roman" w:cs="Times New Roman" w:eastAsia="Times New Roman" w:hAnsi="Times New Roman"/>
          <w:color w:val="000000"/>
          <w:sz w:val="24"/>
          <w:szCs w:val="24"/>
          <w:rtl w:val="0"/>
        </w:rPr>
        <w:t xml:space="preserve">роведення рекрутингу респондентів – </w:t>
      </w:r>
      <w:r w:rsidDel="00000000" w:rsidR="00000000" w:rsidRPr="00000000">
        <w:rPr>
          <w:rFonts w:ascii="Times New Roman" w:cs="Times New Roman" w:eastAsia="Times New Roman" w:hAnsi="Times New Roman"/>
          <w:sz w:val="24"/>
          <w:szCs w:val="24"/>
          <w:rtl w:val="0"/>
        </w:rPr>
        <w:t xml:space="preserve">не нижче рівня заступників управлінь/департаментів соціального захисту, заступників управлінь/департаментів </w:t>
      </w:r>
      <w:r w:rsidDel="00000000" w:rsidR="00000000" w:rsidRPr="00000000">
        <w:rPr>
          <w:rFonts w:ascii="Times New Roman" w:cs="Times New Roman" w:eastAsia="Times New Roman" w:hAnsi="Times New Roman"/>
          <w:sz w:val="24"/>
          <w:szCs w:val="24"/>
          <w:highlight w:val="white"/>
          <w:rtl w:val="0"/>
        </w:rPr>
        <w:t xml:space="preserve">фінансів в кожній територіальній громаді, на які поширюється географія дослідження. Всі кандидатури внутрішніх експертів мають бути погоджені на рівні керівників управлінь/департаментів</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П</w:t>
      </w:r>
      <w:r w:rsidDel="00000000" w:rsidR="00000000" w:rsidRPr="00000000">
        <w:rPr>
          <w:rFonts w:ascii="Times New Roman" w:cs="Times New Roman" w:eastAsia="Times New Roman" w:hAnsi="Times New Roman"/>
          <w:color w:val="000000"/>
          <w:sz w:val="24"/>
          <w:szCs w:val="24"/>
          <w:highlight w:val="white"/>
          <w:rtl w:val="0"/>
        </w:rPr>
        <w:t xml:space="preserve">роведення 50 е</w:t>
      </w:r>
      <w:r w:rsidDel="00000000" w:rsidR="00000000" w:rsidRPr="00000000">
        <w:rPr>
          <w:rFonts w:ascii="Times New Roman" w:cs="Times New Roman" w:eastAsia="Times New Roman" w:hAnsi="Times New Roman"/>
          <w:sz w:val="24"/>
          <w:szCs w:val="24"/>
          <w:highlight w:val="white"/>
          <w:rtl w:val="0"/>
        </w:rPr>
        <w:t xml:space="preserve">кспертних</w:t>
      </w:r>
      <w:r w:rsidDel="00000000" w:rsidR="00000000" w:rsidRPr="00000000">
        <w:rPr>
          <w:rFonts w:ascii="Times New Roman" w:cs="Times New Roman" w:eastAsia="Times New Roman" w:hAnsi="Times New Roman"/>
          <w:color w:val="000000"/>
          <w:sz w:val="24"/>
          <w:szCs w:val="24"/>
          <w:highlight w:val="white"/>
          <w:rtl w:val="0"/>
        </w:rPr>
        <w:t xml:space="preserve"> інтерв’ю з представниками органів виконавчої влади територіальних громад,</w:t>
      </w:r>
      <w:r w:rsidDel="00000000" w:rsidR="00000000" w:rsidRPr="00000000">
        <w:rPr>
          <w:rFonts w:ascii="Times New Roman" w:cs="Times New Roman" w:eastAsia="Times New Roman" w:hAnsi="Times New Roman"/>
          <w:sz w:val="24"/>
          <w:szCs w:val="24"/>
          <w:highlight w:val="white"/>
          <w:rtl w:val="0"/>
        </w:rPr>
        <w:t xml:space="preserve"> на які поширюється географія дослідження, визначених в п.1, шляхом опитування методом face-to-face </w:t>
      </w:r>
      <w:r w:rsidDel="00000000" w:rsidR="00000000" w:rsidRPr="00000000">
        <w:rPr>
          <w:rFonts w:ascii="Times New Roman" w:cs="Times New Roman" w:eastAsia="Times New Roman" w:hAnsi="Times New Roman"/>
          <w:color w:val="000000"/>
          <w:sz w:val="24"/>
          <w:szCs w:val="24"/>
          <w:highlight w:val="white"/>
          <w:rtl w:val="0"/>
        </w:rPr>
        <w:t xml:space="preserve">за наданим Замовником гайдом тривалістю 30-40 хвилин кожне із їх з транскрибацією в табличній формі.</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tabs>
          <w:tab w:val="left" w:pos="284"/>
        </w:tabs>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Питання інтерв’ю будуть стосуватися таких тем:</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284"/>
        </w:tabs>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Місцеві цільові програми та інші місцеві нормативно-правові акти, що визначають ВПО  членами територіальної громади</w:t>
      </w:r>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284"/>
        </w:tabs>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w:t>
      </w:r>
      <w:r w:rsidDel="00000000" w:rsidR="00000000" w:rsidRPr="00000000">
        <w:rPr>
          <w:rFonts w:ascii="Times New Roman" w:cs="Times New Roman" w:eastAsia="Times New Roman" w:hAnsi="Times New Roman"/>
          <w:sz w:val="24"/>
          <w:szCs w:val="24"/>
          <w:highlight w:val="white"/>
          <w:rtl w:val="0"/>
        </w:rPr>
        <w:t xml:space="preserve">Чи працюють існуючі місцеві цільові програми, чи забезпечується їх виконання відповідними фінансовими та організаційними ресурсами? Кількість осіб, які ними скористались після 24.02.2022, в тому числі кількість ВПО.</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284"/>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Врахування потреб та інтересів ВПО при створенні та реалізації місцевих цільових програм.</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284"/>
        </w:tabs>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Ідентифікація перешкод у доступі до інструментів соціальної підтримки вразливих категорій громадян з числа ВПО у приймаючих громадах.</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284"/>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 </w:t>
      </w:r>
      <w:r w:rsidDel="00000000" w:rsidR="00000000" w:rsidRPr="00000000">
        <w:rPr>
          <w:rFonts w:ascii="Times New Roman" w:cs="Times New Roman" w:eastAsia="Times New Roman" w:hAnsi="Times New Roman"/>
          <w:sz w:val="24"/>
          <w:szCs w:val="24"/>
          <w:highlight w:val="white"/>
          <w:rtl w:val="0"/>
        </w:rPr>
        <w:t xml:space="preserve">Існуючі та перспективні практики включення ВПО до участі у місцевому самоврядуванні приймаючих територіальних громад.</w:t>
      </w:r>
    </w:p>
    <w:p w:rsidR="00000000" w:rsidDel="00000000" w:rsidP="00000000" w:rsidRDefault="00000000" w:rsidRPr="00000000" w14:paraId="00000024">
      <w:pPr>
        <w:shd w:fill="ffffff" w:val="clear"/>
        <w:spacing w:after="0" w:line="240" w:lineRule="auto"/>
        <w:jc w:val="both"/>
        <w:rPr>
          <w:rFonts w:ascii="Times New Roman" w:cs="Times New Roman" w:eastAsia="Times New Roman" w:hAnsi="Times New Roman"/>
          <w:b w:val="1"/>
          <w:color w:val="212529"/>
          <w:sz w:val="24"/>
          <w:szCs w:val="24"/>
          <w:highlight w:val="white"/>
        </w:rPr>
      </w:pPr>
      <w:r w:rsidDel="00000000" w:rsidR="00000000" w:rsidRPr="00000000">
        <w:rPr>
          <w:rtl w:val="0"/>
        </w:rPr>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b w:val="1"/>
          <w:color w:val="0a0a0a"/>
          <w:sz w:val="24"/>
          <w:szCs w:val="24"/>
          <w:highlight w:val="white"/>
        </w:rPr>
      </w:pPr>
      <w:r w:rsidDel="00000000" w:rsidR="00000000" w:rsidRPr="00000000">
        <w:rPr>
          <w:rFonts w:ascii="Times New Roman" w:cs="Times New Roman" w:eastAsia="Times New Roman" w:hAnsi="Times New Roman"/>
          <w:b w:val="1"/>
          <w:color w:val="0a0a0a"/>
          <w:sz w:val="24"/>
          <w:szCs w:val="24"/>
          <w:highlight w:val="white"/>
          <w:u w:val="single"/>
          <w:rtl w:val="0"/>
        </w:rPr>
        <w:t xml:space="preserve">Термін надання послуг:</w:t>
      </w:r>
      <w:r w:rsidDel="00000000" w:rsidR="00000000" w:rsidRPr="00000000">
        <w:rPr>
          <w:rFonts w:ascii="Times New Roman" w:cs="Times New Roman" w:eastAsia="Times New Roman" w:hAnsi="Times New Roman"/>
          <w:color w:val="0a0a0a"/>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з 28 листопада по 9 грудня 2022 р.</w:t>
      </w:r>
      <w:r w:rsidDel="00000000" w:rsidR="00000000" w:rsidRPr="00000000">
        <w:rPr>
          <w:rtl w:val="0"/>
        </w:rPr>
      </w:r>
    </w:p>
    <w:p w:rsidR="00000000" w:rsidDel="00000000" w:rsidP="00000000" w:rsidRDefault="00000000" w:rsidRPr="00000000" w14:paraId="0000002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6838" w:w="11906" w:orient="portrait"/>
      <w:pgMar w:bottom="426" w:top="709" w:left="1134"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paragraph" w:styleId="a5">
    <w:name w:val="List Paragraph"/>
    <w:basedOn w:val="a"/>
    <w:uiPriority w:val="34"/>
    <w:qFormat w:val="1"/>
    <w:rsid w:val="000724A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iq2w3fsC6YXDb3NVimLde2gGQg==">AMUW2mU3WHF94RcYZCO9S/xFS69XnYBstW4SPNJhQ9rYbSU1JPuhwxg0MbvMDJB5ngjM3Sk3eczG6LGkBoVetfgJZpjtA22i3+Ud67HIrVoHrp/d/RgEfNU=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2022-11-10T21:09:00Z</dcterms:created>
</cp:coreProperties>
</file>